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Концепція національно-патріотичного виховання </w:t>
      </w:r>
      <w:proofErr w:type="gramStart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 системі освіти України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84453" w:rsidRPr="00284453" w:rsidTr="00284453">
        <w:trPr>
          <w:tblCellSpacing w:w="0" w:type="dxa"/>
        </w:trPr>
        <w:tc>
          <w:tcPr>
            <w:tcW w:w="15165" w:type="dxa"/>
            <w:shd w:val="clear" w:color="auto" w:fill="auto"/>
            <w:vAlign w:val="center"/>
            <w:hideMark/>
          </w:tcPr>
          <w:p w:rsidR="00284453" w:rsidRPr="00284453" w:rsidRDefault="00284453" w:rsidP="0028445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МІНІСТЕРСТВО ОСВІТИ І НАУКИ УКРАЇНИ</w:t>
            </w:r>
          </w:p>
        </w:tc>
      </w:tr>
      <w:tr w:rsidR="00284453" w:rsidRPr="00284453" w:rsidTr="00284453">
        <w:trPr>
          <w:tblCellSpacing w:w="0" w:type="dxa"/>
        </w:trPr>
        <w:tc>
          <w:tcPr>
            <w:tcW w:w="15165" w:type="dxa"/>
            <w:shd w:val="clear" w:color="auto" w:fill="auto"/>
            <w:vAlign w:val="center"/>
            <w:hideMark/>
          </w:tcPr>
          <w:p w:rsidR="00284453" w:rsidRPr="00284453" w:rsidRDefault="00284453" w:rsidP="0028445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НАКАЗ</w:t>
            </w:r>
          </w:p>
        </w:tc>
      </w:tr>
      <w:tr w:rsidR="00284453" w:rsidRPr="00284453" w:rsidTr="00284453">
        <w:trPr>
          <w:tblCellSpacing w:w="0" w:type="dxa"/>
        </w:trPr>
        <w:tc>
          <w:tcPr>
            <w:tcW w:w="15165" w:type="dxa"/>
            <w:shd w:val="clear" w:color="auto" w:fill="auto"/>
            <w:vAlign w:val="center"/>
            <w:hideMark/>
          </w:tcPr>
          <w:p w:rsidR="00284453" w:rsidRPr="00284453" w:rsidRDefault="00284453" w:rsidP="0028445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06.06.2022                          № 527</w:t>
            </w:r>
          </w:p>
        </w:tc>
      </w:tr>
    </w:tbl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{Із змінами, внесеними згідно з Наказом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br/>
        <w:t>Міністерства освіти і науки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br/>
      </w:r>
      <w:hyperlink r:id="rId5" w:anchor="n5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№ 586 від 23.06.2022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}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Відповідно до </w:t>
      </w:r>
      <w:hyperlink r:id="rId6" w:anchor="n33" w:history="1">
        <w:proofErr w:type="gramStart"/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п</w:t>
        </w:r>
        <w:proofErr w:type="gramEnd"/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ідпунктів 18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, </w:t>
      </w:r>
      <w:hyperlink r:id="rId7" w:anchor="n35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20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пункту 4 Положення про Міністерство освіти і науки України, затвердженого постановою Кабінету Міністрів України від 16 жовтня 2014 року № 630 (із змінами), та з метою посилення національно-патріотичного виховання дітей та молоді в закладах освіти відповідно до постанови Кабінету Міні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стр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ів України від 09 жовтня 2020 року </w:t>
      </w:r>
      <w:hyperlink r:id="rId8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№ 932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“Про затвердження плану дій щодо реалізації Стратегії національно-патріотичного виховання на 2020 – 2025 роки”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НАКАЗУЮ:</w:t>
      </w:r>
    </w:p>
    <w:p w:rsidR="00284453" w:rsidRPr="00284453" w:rsidRDefault="00284453" w:rsidP="0028445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Затвердити </w:t>
      </w:r>
      <w:hyperlink r:id="rId9" w:anchor="n12" w:history="1">
        <w:r w:rsidRPr="00284453">
          <w:rPr>
            <w:rFonts w:ascii="Verdana" w:eastAsia="Times New Roman" w:hAnsi="Verdana" w:cs="Times New Roman"/>
            <w:color w:val="017DBD"/>
            <w:sz w:val="30"/>
            <w:lang w:eastAsia="ru-RU"/>
          </w:rPr>
          <w:t>Концепцію національно-патріотичного виховання в системі освіти України та</w:t>
        </w:r>
        <w:proofErr w:type="gramStart"/>
        <w:r w:rsidRPr="00284453">
          <w:rPr>
            <w:rFonts w:ascii="Verdana" w:eastAsia="Times New Roman" w:hAnsi="Verdana" w:cs="Times New Roman"/>
            <w:color w:val="017DBD"/>
            <w:sz w:val="30"/>
            <w:lang w:eastAsia="ru-RU"/>
          </w:rPr>
          <w:t xml:space="preserve"> З</w:t>
        </w:r>
        <w:proofErr w:type="gramEnd"/>
        <w:r w:rsidRPr="00284453">
          <w:rPr>
            <w:rFonts w:ascii="Verdana" w:eastAsia="Times New Roman" w:hAnsi="Verdana" w:cs="Times New Roman"/>
            <w:color w:val="017DBD"/>
            <w:sz w:val="30"/>
            <w:lang w:eastAsia="ru-RU"/>
          </w:rPr>
          <w:t>аходи щодо її реалізації до 2025 року</w:t>
        </w:r>
      </w:hyperlink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, що додаються.</w:t>
      </w:r>
    </w:p>
    <w:p w:rsidR="00284453" w:rsidRPr="00284453" w:rsidRDefault="00284453" w:rsidP="0028445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Департаментам (управлінням) освіти і науки обласних, Київської міської державних (військово-цивільних) адміністрацій, іншим відповідальним виконавцям Заходів, спрямованих на посилення національно-патріотичного виховання дітей та молоді в закладах освіти, забезпечити виконання затверджених цим наказом Заході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.</w:t>
      </w:r>
    </w:p>
    <w:p w:rsidR="00284453" w:rsidRPr="00284453" w:rsidRDefault="00284453" w:rsidP="0028445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</w:pPr>
      <w:proofErr w:type="gramStart"/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Визнати таким, що втратив чинність, </w:t>
      </w:r>
      <w:hyperlink r:id="rId10" w:history="1">
        <w:r w:rsidRPr="00284453">
          <w:rPr>
            <w:rFonts w:ascii="Verdana" w:eastAsia="Times New Roman" w:hAnsi="Verdana" w:cs="Times New Roman"/>
            <w:color w:val="017DBD"/>
            <w:sz w:val="30"/>
            <w:lang w:eastAsia="ru-RU"/>
          </w:rPr>
          <w:t>наказ Міністерства освіти і науки України від 16.06.2015 № 641</w:t>
        </w:r>
      </w:hyperlink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 xml:space="preserve">“Про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</w:t>
      </w:r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lastRenderedPageBreak/>
        <w:t>молоді та методичних рекомендацій щодо національно-патріотичного виховання у загальноосвітніх навчальних закладах”.</w:t>
      </w:r>
      <w:proofErr w:type="gramEnd"/>
    </w:p>
    <w:p w:rsidR="00284453" w:rsidRPr="00284453" w:rsidRDefault="00284453" w:rsidP="0028445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 xml:space="preserve">Департаменту забезпечення документообігу, контролю та інформаційних технологій (Єрко І.) зробити в установленому порядку відмітку у справах </w:t>
      </w:r>
      <w:proofErr w:type="gramStart"/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арх</w:t>
      </w:r>
      <w:proofErr w:type="gramEnd"/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іву.</w:t>
      </w:r>
    </w:p>
    <w:p w:rsidR="00284453" w:rsidRPr="00284453" w:rsidRDefault="00284453" w:rsidP="0028445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  <w:t>Контроль за виконанням цього наказу покласти на заступника Міністра Рогову В.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Міні</w:t>
      </w:r>
      <w:proofErr w:type="gramStart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стр</w:t>
      </w:r>
      <w:proofErr w:type="gramEnd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                                                                             Сергій Шкарлет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284453" w:rsidRPr="00284453" w:rsidTr="00284453">
        <w:trPr>
          <w:tblCellSpacing w:w="0" w:type="dxa"/>
        </w:trPr>
        <w:tc>
          <w:tcPr>
            <w:tcW w:w="3000" w:type="pct"/>
            <w:shd w:val="clear" w:color="auto" w:fill="auto"/>
            <w:vAlign w:val="center"/>
            <w:hideMark/>
          </w:tcPr>
          <w:p w:rsidR="00284453" w:rsidRPr="00284453" w:rsidRDefault="00284453" w:rsidP="0028445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  <w:r w:rsidRPr="00284453"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  <w:t> </w:t>
            </w:r>
          </w:p>
          <w:p w:rsidR="00284453" w:rsidRPr="00284453" w:rsidRDefault="00284453" w:rsidP="0028445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  <w:r w:rsidRPr="00284453"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:rsidR="00284453" w:rsidRPr="00284453" w:rsidRDefault="00284453" w:rsidP="0028445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ЗАТВЕРДЖЕНО</w:t>
            </w:r>
            <w:r w:rsidRPr="00284453"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  <w:br/>
            </w: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Наказ Міністерства освіти</w:t>
            </w:r>
            <w:r w:rsidRPr="00284453"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  <w:br/>
            </w: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і науки України</w:t>
            </w:r>
            <w:r w:rsidRPr="00284453"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  <w:br/>
            </w:r>
            <w:r w:rsidRPr="00284453">
              <w:rPr>
                <w:rFonts w:ascii="Verdana" w:eastAsia="Times New Roman" w:hAnsi="Verdana" w:cs="Times New Roman"/>
                <w:b/>
                <w:bCs/>
                <w:color w:val="111111"/>
                <w:sz w:val="32"/>
                <w:lang w:eastAsia="ru-RU"/>
              </w:rPr>
              <w:t>06 червня 2022 року № 527</w:t>
            </w:r>
          </w:p>
        </w:tc>
      </w:tr>
    </w:tbl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 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КОНЦЕПЦІЯ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br/>
      </w: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НАЦІОНАЛЬНО-ПАТРІОТИЧНОГО ВИХОВАННЯ </w:t>
      </w:r>
      <w:proofErr w:type="gramStart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 СИСТЕМІ ОСВІТИ УКРАЇНИ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У період війни, яку російська федерація розв’язала і веде проти України, виникає нагальна необхідність переосмислення зробленого і здійснення системних заходів, спрямованих на посилення національно-патріотичного виховання дітей та молоді – формування нового українця, що діє на основі національних та європейських, цінностей.</w:t>
      </w:r>
      <w:proofErr w:type="gramEnd"/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Сьогодні Українська держава та її громадяни стають безпосередніми учасниками процесів, які мають надзвичайно велике значення для подальшого визначення, першою чергою, своєї долі, долі своїх сусідів, подальшого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ітового порядку. В сучасних важких і болісних ситуаціях викликів та загроз, і водночас, великих перспектив розвитку, кардинальних змін у політиці, економіці,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іальній сфері пріоритетним завданням суспільного поступу, поряд із убезпеченням своєї суверенності й територіальної цілісності, пошуками шляхів для інтегрування в європейське та євроатлантичне співтовариство, є визначення нової стратегії виховання як багатокомпонентної та багатовекторної системи, яка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великою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мірою формує майбутній розвиток Української держави.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Серед виховних напрямів сьогодні найбільш актуальними виступають громадянсько-патріотичне, духовно-моральне, військово-патріотичне та екологічне виховання як основні складові національно-патріотичного виховання, як стрижневі, основоположні, що відповідають як нагальним вимогам і викликам сучасності, так і закладають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ідвалини для формування свідомості нинішніх і прийдешніх поколінь, які розглядатимуть розвиток держави як запоруку власного особистісного розвитку, що спирається на ідеї патріотизму, поваги до культурних цінностей Українського народу, його історико-культурного надбання і традицій, гуманізму,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іального добробуту, демократії, свободи, толерантності, виваженості, відповідальності за природу як за національне багатство, здорового способу життя, готовності до змін та до виконання обов’язку із захисту незалежності та територіальної цілісності України.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Інтеграційні процеси, що відбуваються в Україні, європоцентричність, пробудження громадянської і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громадської ініціативи, виникнення різних громадських рухів, розповсюдження волонтерської діяльності, які накладаються на технологічну і комунікативну глобалізацію, міграційні зміни всередині суспільства, ідентифікаційні і реідентифікаційні процеси в особистісному розвитку кожного українця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, відбуваються на тлі сплеску інтересу і прояву патріотичних почуттів і нових ставлень до історії, культури,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рел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ігії, традицій і звичаїв українського народу.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Тому нині, як ніколи, потрібні нові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ідходи і нові шляхи до виховання патріотизму як почуття і як базової якості особистості. При цьому потрібно враховувати, що Україна має древню і величну культуру та історію, досвід державницького життя, які виступають потужним джерелом і міцним підґрунтям виховання дітей і молоді. Вони уже ввійшли до освітнього і загальновиховного простору, але нинішні суспільні процеси вимагають їх переосмислення, яке відкриває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нов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 можливості для освітньої сфери.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держави, ідеалів свободи, соборності та державності, зокрема, від княжої доби, українських козаків, Українських Січових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Стр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ільців, армій Української Народної Республіки та Західноукраїнської Народної Республіки, учасників антибільшовицьких селянських повстань, загонів Карпатсько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ї С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ічі, Української повстанської армії, українців-повстанців у сталінських концтаборах, учасників дисидентського руху.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Також національно-патріотичне виховання має здійснюватися на прикладах мужності та героїзму учасників революційних подій в Україні у 2004, 2013 – 2014 років, Героїв Небесної Сотні, учасників антитерористичної операції та операції об’єднаних сил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у Донецькій та Луганській областях, спротиву окупації та анексії Автономної Республіки Крим російською федерац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ією, війни російської федерації проти України.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Важливим завданням є розгляд порівняльн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о-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історичних відомостей про переривання державності в інших європейських країнах, які сьогодні представлені потужними європейськими націями. Спеціального розгляду потребують історичні обставини, що призводять до переривання державницької традиції. На особливу увагу заслуговує формування української політичної культури в часи Речі Посполитої та Австро-Угорщини, нове осмислення ролі Кримського Ханату як держави кримськотатарського народу, включно з тривалим воєнним протистоянням 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пл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ідною військовою та культурною співпрацею.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Разом із тим національно-патріотичне виховання не повинно формувати ідеї культурного імперіалізму, тобто способу споглядання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іту лише очима власної культури. Ця Концепція виходить з ідеї об’єднання різних народів, національних, етнічних та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рел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ігійних груп, які проживають на території України, довкола ідеї української державності, українського громадянства, що виступають загальними надбаннями, забезпечують їхній всебічний соціальний та культурний розвиток. Українська держава заперечує будь-які форми дискримінації,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ідтримуючи всі мови і культури, забезпечує формування у здобувачів освіти прагнення до взаєморозуміння, миру, злагоди між усіма народами, етнічними, національними, релігійними групами.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На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жаль, до сьогодні українська осві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та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не мала переконливої і позитивної україноцентричної традиції, досвіду щодо виховання патріотизму в дітей та молоді, у попередні часи боялися взагалі терміна “національний”, а “патріотичне виховання” сприймали винятково в етнонародному або неорадянському вимірі.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На сучасному етапі розвитку України, коли існує пряма загроза денаціоналізації, втрати державної незалежності та потрапляння у сферу впливу іншої держави, виникає нагальна необхідність переосмислення зробленого і здійснення системних заходів, спрямованих на посилення національно-патріотичного виховання дітей та молоді – формування нового українця, що діє на основі національних та європейських цінностей:</w:t>
      </w:r>
      <w:proofErr w:type="gramEnd"/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повага до національних символі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(Герба, Прапора, Гімну України);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активна участь у громадсько-політичному житті 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верховенство права, повага до прав людини;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готовності до природоохоронної діяльності;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толерантне ставлення до цінностей і переконань представників іншої культури, а також до регіональних та національно-мовних особливостей;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готовність захищати суверенітет і територіальну цілісність України.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Процес патріотичного виховання дітей і молоді повинен мати випереджувальний характер, відпові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дати 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іковим і сенситивним періодам розвитку дитини та особистісним характеристикам, ґрунтуватися на духовно-моральних засадах.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Відтак, враховуючи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вс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 обставини, виникає погреба в актуалізації концепції, яка б визначала нову стратегію цілеспрямованого і ефективного процесу виховання суб’єкта громадянського суспільства, громадянина – патріота України.</w:t>
      </w:r>
    </w:p>
    <w:p w:rsidR="00284453" w:rsidRPr="00284453" w:rsidRDefault="00284453" w:rsidP="00284453">
      <w:pPr>
        <w:numPr>
          <w:ilvl w:val="0"/>
          <w:numId w:val="2"/>
        </w:numPr>
        <w:spacing w:after="0" w:line="240" w:lineRule="auto"/>
        <w:ind w:left="0"/>
        <w:jc w:val="center"/>
        <w:textAlignment w:val="baseline"/>
        <w:rPr>
          <w:rFonts w:ascii="Verdana" w:eastAsia="Times New Roman" w:hAnsi="Verdana" w:cs="Times New Roman"/>
          <w:color w:val="111111"/>
          <w:sz w:val="30"/>
          <w:szCs w:val="30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0"/>
          <w:lang w:eastAsia="ru-RU"/>
        </w:rPr>
        <w:t xml:space="preserve">Мета та завдання національно-патріотичного виховання </w:t>
      </w:r>
      <w:proofErr w:type="gramStart"/>
      <w:r w:rsidRPr="00284453">
        <w:rPr>
          <w:rFonts w:ascii="Verdana" w:eastAsia="Times New Roman" w:hAnsi="Verdana" w:cs="Times New Roman"/>
          <w:b/>
          <w:bCs/>
          <w:color w:val="111111"/>
          <w:sz w:val="30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b/>
          <w:bCs/>
          <w:color w:val="111111"/>
          <w:sz w:val="30"/>
          <w:lang w:eastAsia="ru-RU"/>
        </w:rPr>
        <w:t xml:space="preserve"> системі освіти України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Національно-патріотичне виховання дітей та молоді – це комплексна, системна і цілеспрямована діяльність органів державної влади та місцевого самоврядування, закладів освіти, сім’ї, громадських об’єднань та благодійних організацій,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рел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ігійних організацій та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інших інститутів щодо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іальної держави. Найважливішим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пр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іоритетом національно-патріотичного виховання є формування ціннісного ставлення особистості до українського народу, Батьківщини, держави, нації.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Метою національно-патріотичного виховання є становлення самодостатнього громадянина-патріота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формування активної громадянської позиції, утвердження національної ідентичності громадян на основі духовно-моральних цінностей Українського народу, національної самобутності.</w:t>
      </w:r>
      <w:proofErr w:type="gramEnd"/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Національно-патріотичне виховання має сприяти єднанню українського народу, зміцненню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іально-економічних, духовних, культурних основ розвитку українського суспільства і держави.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Складовою частиною патріотичного виховання, яка в часи воєнної загрози набуває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пр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іоритетного значення, є військово-патріотичне виховання, зорієнтоване на формування у зростаючої особистості готовності до захисту України, розвиток бажання здобувати військові професії, проходити службу у Збройних Силах України як особливому виді державної служби. Його змі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ст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визначається національними інтересами України і покликаний забезпечити активну участь громадян у збереженні її безпеки від зовнішньої загрози. Робота з військово-патріотичного виховання має проводитися комплексно, спільними зусиллями органі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державної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влади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та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місцевого самоврядування, а також закладів освіти, сім’ї, громадських об’єднань та благодійних організацій, Збройних Сил України, інших силових структур.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Системна організація військово-патріотичного виховання має бути спрямована на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ідготовку до оволодіння початковою військовою підготовкою, військовими професіями, формування психологічної та фізичної, морально-духовної готовності до служби в Збройних Силах, задоволення потреби підростаючого покоління у постійному вдосконаленні своєї підготовки до захисту України.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Мета національно-патріотичного виховання реалізується через систему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таких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виховних завдань: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утвердження в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виховання поваги до </w:t>
      </w:r>
      <w:hyperlink r:id="rId11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Конституції України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, законів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Укра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їни, державної символіки;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ідвищення престижу військової служби, а звідси – культивування ставлення до військовослужбовця як до захисника України, героя;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усвідомлення взаємозв’язку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між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індивідуальною свободою, правами людини та її патріотичною відповідальністю;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сприяння набуттю патріотичного досвіду на основі готовності до участі в процесах державотворення, уміння визначати форми та способи своєї участі в життєдіяльності громадянського суспільства, спілкуватися з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іальними інститутами, органами влади, спроможності дотримуватись законів та захищати права людини, готовності взяти на себе відповідальність, здатності розв’язувати конфлікти відповідно до демократичних принципі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виховання екологічної культури особистості, усвідомлення себе частиною природи, почуття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відповідальності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за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неї як за національне багатство, основи життя на землі;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формування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толерантного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ставлення до інших народів, культур і традицій;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утвердження гуманістичної моральності як базової основи громадянського суспільства;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культивування кращих рис української ментальності – працелюбності, свободи, справедливості, доброти, чесності, відповідального ставлення до природи;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формування мовленнєвої культури;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спонукання зростаючої особистості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до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активної протидії українофобству, аморальності, сепаратизму, шовінізму, фашизму;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розвиток духовності і моральності у суспільстві, утвердження традиційних сімейних цінностей.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2. Принципи національно-патріотичного виховання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Національно-патріотичне виховання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спирається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на загальнопедагогічні принципи виховання, такі як дитиноцентризм, природовідповідність, культуровідповідність, гуманізм, врахування вікових та індивідуальних особливостей. Водночас національно-патріотичне виховання має власні принципи, що відображають його специфіку. Серед них: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національної спрямованості, що передбачає формування національної самосвідомості, виховання любові до рідної землі, природи, українського народу, шанобливого ставлення до його культури, історії, традицій; поваги до культури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вс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іх народів, які населяють Україну; здатності зберігати свою національну ідентичність, пишатися приналежністю до українського народу, брати участь у розбудові та захисті своєї держави;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самоактивності й саморегуляції забезпечує розвиток у вихованця суб’єктних характеристик; формує здатність до критичності й самокритичності, до прийняття самостійних рішень; виробляє громадянську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позицію особистості, почуття відповідальності за її реалізацію в ді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ях та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вчинках;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полікультурності передбачає інтегрованість української культури в європейський та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ітовий простір, створення для цього необхідних передумов: формування відкритості, толерантного ставлення до відмінних ідей, цінностей, культури, мистецтва, вірувань; здатності диференціювали спі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льне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і відмінне в різних культурах, спроможності сприймати українську культуру як невід’ємну складову культури загальнолюдської;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культуровідповідності задля формування базової культури особистості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на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основі набутого морально-етичного досвіду людства;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іальної відповідності обумовлює потребу узгодження змісту і методів національно-патріотичного виховання з реальною соціальною ситуацією, в якій організовується виховний процес, і має на меті виховання в дітей і молоді готовності до захисту України та ефективного розв’язання життєвих проблем на основі сформованих цінностей;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історичної 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іальної пам’яті спрямований на збереження духовно-моральної і культурно-історичної спадщини українців та відтворює її у реконструйованих і осучаснених формах і методах діяльності;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принцип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іжпоколінної наступності, який зберігає для нащадків зразки української культури, етнокультури народів, що живуть в Україні.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3. Шляхи реалізації національно-патріотичного виховання </w:t>
      </w:r>
      <w:proofErr w:type="gramStart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 xml:space="preserve"> системі освіти України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3.1. Удосконалення нормативно-правової бази патріотичного виховання: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ідготовка нормативно-правових документів з питань національно-патріотичного виховання в системі освіти України, удосконалення законодавства;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– розроблення державних і громадських заходів з інформаційної безпеки, спрямованих на запобігання негативним наслідкам впливу інформаційної війни, та розвиток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критичного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мислення;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розроблення порядку державного фінансування заходів, спрямованих на національно-патріотичне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ідготовка комплексних програм громадянсько-патріотичного, військово-патріотичного, духовно-морального виховання та нормативно-методичного забезпечення їх реалізації з метою виховання здорового підростаючого покоління, готового захищати національні інтереси та територіальну цілісність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вироблення науково-теоретичних і методичних засад патріотичного виховання молоді, включення проблематики патріотичного виховання молоді до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досл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ідницьких програм та планів наукових установ і закладів освіти (через історію можна показати, як державність поновлювали інші народи; через зарубіжну літературу – показати, як ці народи утверджували свою ідентичність; через дисципліни природничо-наукового циклу – розкрити здобутки українців у науці і техніці, якими слід пишатися тощо). Тільки цілісна і системна картина гарантуватиме досягнення мети Концепції.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3.2. Діяльність органі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державної влади та місцевого самоврядування у сфері національно-патріотичного виховання: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збереження мережі закладів позашкільної освіти на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вс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іх рівнях (державному, обласному, територіальних громад), недопущення їх реорганізації та ліквідації;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іжнародна співпраця з питань удосконалення процесу національно-патріотичного виховання, обмін досвідом з відповідними інституціями інших держав;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– проведення заходів, спрямованих на реалізацію патріотичного виховання в закладах системи освіти, культури, спорту;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ідтримка та сприяння волонтерським проектам, іншої громадської діяльності та самоорганізації українських громадян, спрямованої на заохочення молоді до благодійних соціальних, інтелектуальних та творчих ініціатив і проектів на благо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створення умов для популяризації кращих здобутків національної культурної і духовної спадщини, героїчного минулого і сучасного українського народу,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ідтримки професійної й самодіяльної творчості;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активне залучення до патріотичного виховання дітей та молоді учасників бойових дій на Сході України, членів сімей Героїв Небесної Сотні, учасників антитерористичної операції, операції об’єднаних сил, учасників війни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Р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осійської Федерації проти України та їхніх сімей, військових капеланів, діячів сучасної культури, мистецтва, науки, спорту, які виявляють активну громадянську і патріотичну позицію;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залучення молоді до участі у збереженні 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ідтримці єдності українського суспільства, у громадському русі задля громадянського миру і злагоди;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сприяння спортивній і фізичній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ідготовці, спрямованій на утвердження здорового способу життя громадян з урахуванням принципів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налагодження співпраці з військовими формуваннями України як мотивація готовності до вибору військових професій;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сприяння роботі клубів за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ісцем проживання, закладів позашкільної освіти, центрів національно-патріотичного виховання, громадських об’єднань, благодійних організацій та інших інститутів громадянського суспільства, які здійснюють патріотичне виховання молоді;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– утворення міжшкільних ресурсних центрів, що забезпечуватимуть викладання предмета “Захист України”;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удосконалення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ідготовки та перепідготовки кадрів, які займаються питаннями національно-патріотичного виховання дітей та молоді в системі освіти, культури, спорту;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сприяння впровадженню навчальних дисциплін духовно-морального спрямування як основи формування особистості та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ідґрунтя для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вивчення потреб дітей і молоді, зокрема шляхом проведення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іологічних досліджень;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забезпечення активної участі сі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’ї та родини в розвитку фізично і морально здорової, патріотично налаштованої зростаючої особистості.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3.3. Співпраця органі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державної влади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та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органів місцевого самоврядування з громадянським суспільством: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активне залучення до національно-патріотичного виховання громадських об’єднань та благодійних організацій, використання їхнього досвіду, потенціалу, методів роботи у вихованні патрі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от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ів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організаційна та фінансова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ідтримка на конкурсній основі програм, проектів громадських організацій, спрямованих на національно-патріотичне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активне залучення сі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’ї до процесу національно-патріотичного виховання, долучення батьківської громадськості до популяризації кращого досвіду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проведення заходів, спрямованих на реалізацію патріотичного виховання в закладах системи освіти, культури, спорту;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ідтримка та сприяння волонтерським проектам, іншій громадській діяльності та самоорганізації українських громадян, спрямованій на заохочення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молоді до благодійних соціальних, інтелектуальних та творчих ініціатив і проектів на благо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створення умов для популяризації найкращих здобутків національної культурної і духовної спадщини, героїчного минулого і сучасного українського народу,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ідтримки професійної й самодіяльної творчості;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залучення молоді до участі у збереженні 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ідтримці єдності українського суспільства, у громадському русі задля громадянського миру і злагоди;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сприяння спортивній і фізичній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ідготовці, спрямованій на утвердження здорового способу життя громадян з урахуванням принципів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налагодження співпраці з військовими формуваннями України як мотивація готовності до вибору військових професій;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посилення громадського контролю за діяльністю органів виконавчої влади стосовно національно-патріотичного виховання.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3.4. Інформаційне забезпечення національно-патріотичного виховання: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організація у тел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е-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, радіопрограмах, інтернет-ресурсах та в друкованій пресі постійно діючих рубрик, що популяризують українську історію, боротьбу українського народу за незалежність, досягнення українського народу, його мову та культуру, інтелектуальні, духовні та інші надбання, духовно-моральні цінності, досвід роботи з національно-патріотичного виховання різних соціальних інституцій;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ідтримка україномовних молодіжних засобів масової інформації;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запобігання пропаганді в засобах масової інформації культу насильства, жорстокості і бездуховності, поширення порнографії та інших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матер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іалів, що суперечать загальнолюдським та національним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>духовним цінностям, заперечують суверенність Української держави;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виробництво кін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о-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і відеофільмів, підтримка видання науково-популярної, наукової, художньої літератури національно-патріотичного спрямування;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ідготовка інформаційної та науково-популярної літератури для батьків з питань патріотичного виховання дітей та молоді у сім’ї; висвітлення в засобах масової інформації кращого досвіду родинного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здійснення заходів щодо розширення фактографічної бази історичних подій, публікація розсекречених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арх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івних документів, видання історичної науково-популярної літератури, довідкових матеріалів про здобутки України за роки незалежності, книг патріотичної спрямованості;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створення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мережі Інтернет інформаційної бази з питань 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залучення до обговорення нагальних питань з патріотичного виховання молоді відомих вчених, державних і громадських діячів, представників культури і мистецтва, педагогів, ветеранів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ійни, лідерів та активістів громадських організацій;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активна протидія фактам, що фальсифікують історію України та її сьогодення;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ідтримка україномовних молодіжних друкованих засобів масової інформації, теле- та радіопрограм, інтернет-центрів.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4. Впровадження національно-патріотичного виховання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Національно-патріотичне виховання в системі освіти впроваджується шляхом реалізації </w:t>
      </w:r>
      <w:hyperlink r:id="rId12" w:anchor="n15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Стратегії національно-патріотичного виховання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, затвердженої Указом Президента України від 18 травня 2019 року № 286/2019 (далі – Стратегія), плану дій щодо реалізації Стратегії, державних цільових програм з питань з національно-патріотичного виховання (або програм,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що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пов’язан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 з національно-патріотичним вихованням), обласних, місцевих цільових програм з національно-патріотичного виховання (або програм, що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пов’язан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 з національно-патріотичним вихованням), виконання </w:t>
      </w:r>
      <w:hyperlink r:id="rId13" w:anchor="n134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Заходів щодо реалізації Концепції національно-патріотичного виховання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Окремими напрямами реалізації цієї Концепції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є:</w:t>
      </w:r>
      <w:proofErr w:type="gramEnd"/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створення сприятливих умов, встановлених на законодавчому рівні, для діяльності молодіжних організацій, дитячих та молодіжних громадських об’єднань, що беруть участь в процесі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розроблення та упровадження системи заходів з метою реалізації концепції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реалізація положення про Всеукраїнську дитячо-юнацьку військово-патріотичну гру “Сокі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л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” (“Джура”);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сприяння впровадженню навчальних дисциплі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н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духовно-морального спрямування та громадянської освіти в Україні у відповідності до Концепції розвитку громадянської освіти в Україні, інших документів з розвитку громадянської освіти.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5. Очікувані результати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У результаті впровадження системи національно-патріотичного виховання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очіку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ється: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забезпечення у молодого покоління розвинутої патріотичної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ідомості і відповідальності, почуття вірності, любові до Батьківщини, поваги до національних, історичних, культурних і духовних цінностей Українського народу, його історико-культурного надбання і традицій, державної мови та державних символів України, турботи про спільне благо, природу, збереження та шанування національної пам’яті, формування активної громадянської позиції;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зацікавленість молоді щодо служби у Збройних Силах України, готовність до захисту України та </w:t>
      </w: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виконання конституційного і громадянського обов’язку із захисту національних інтересів, цілісності, незалежності України, з метою становлення її як правової, демократичної,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іальної держави;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формування компетенцій, необхідних для захисту України, служби в Збройних Силах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збереження стабільності в суспільстві,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соц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іальному та економічному розвитку країни, зміцнення її обороноздатності та безпеки;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створення ефективної системи національно-патріотичного виховання молоді;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консолідація зусиль суспільних інституцій у справі виховання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ідростаючого покоління.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b/>
          <w:bCs/>
          <w:color w:val="111111"/>
          <w:sz w:val="32"/>
          <w:lang w:eastAsia="ru-RU"/>
        </w:rPr>
        <w:t>6. Індикатори ефективності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Індикаторами ефективності національно-патріотичного виховання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системі освіти України, зокрема, є: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збільшення відвідуваності здобувачами освіти закладів, що популяризують культурні та національно-мистецькі традиції Українського народу, а також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пам’яток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історії, культури, експозицій музеїв, присвячених національно-визвольній боротьбі за незалежність і територіальну цілісність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ідвищення серед здобувачів освіти рівня знань про видатних особистостей українського державотворення, визначних українських учених, педагогів, спортсменів, військових, підприємців, провідних діячів культури, мистецтв, а також духовних провідників Українського народу;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збільшення кількості здобувачів освіти, які пишаються своїм українським походженням, громадянством;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зростання рівня екологічної культури, збільшення кількості учасників екологічних акцій, природоохоронних заході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в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збільшення кількості здобувачів освіти, які здійснюють екскурсії, подорожі, походи;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lastRenderedPageBreak/>
        <w:t xml:space="preserve">– збільшення кількості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п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ідготовлених фахівців з національно-патріотичного виховання;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збільшення кількості проведених зустрічей здобувачів освіти з борцями за незалежність України у XX столі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тт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і, ветеранами та учасниками антитерористичної операції та операції об’єднаних сил у Донецькій та Луганській областях, учасниками війни російської федерації проти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збільшення чисельності громадян, готових до виконання обов’язку із захисту незалежності та територіальної цілісності України;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збільшення кількості громадян, зокрема дітей та молоді, залучених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до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проектів та заходів з національно-патріотичного виховання місцевого, всеукраїнського та міжнародного рівнів, які відповідають ціннісним орієнтирам та індикаторам ефективності </w:t>
      </w:r>
      <w:hyperlink r:id="rId14" w:anchor="n15" w:history="1">
        <w:r w:rsidRPr="00284453">
          <w:rPr>
            <w:rFonts w:ascii="Verdana" w:eastAsia="Times New Roman" w:hAnsi="Verdana" w:cs="Times New Roman"/>
            <w:color w:val="017DBD"/>
            <w:sz w:val="32"/>
            <w:lang w:eastAsia="ru-RU"/>
          </w:rPr>
          <w:t>Стратегії</w:t>
        </w:r>
      </w:hyperlink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– збільшення кількості здобувачів освіти, які беруть участь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у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заходах</w:t>
      </w:r>
      <w:proofErr w:type="gramEnd"/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, спрямованих на популяризацію духовно-моральних цінностей Українського народу, його духовних надбань;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збільшення числа молодих людей, які пов’язують своє майбутнє з навчанням і проживанням в Україні;</w:t>
      </w:r>
    </w:p>
    <w:p w:rsidR="00284453" w:rsidRPr="00284453" w:rsidRDefault="00284453" w:rsidP="002844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284453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– збільшення числа громадян України, які виявляють почуття поваги до своєї Батьківщини.</w:t>
      </w:r>
    </w:p>
    <w:p w:rsidR="00CD61E4" w:rsidRDefault="00CD61E4"/>
    <w:sectPr w:rsidR="00CD61E4" w:rsidSect="00CD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2F3"/>
    <w:multiLevelType w:val="multilevel"/>
    <w:tmpl w:val="2682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F01EE"/>
    <w:multiLevelType w:val="multilevel"/>
    <w:tmpl w:val="0FC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284453"/>
    <w:rsid w:val="001605A0"/>
    <w:rsid w:val="00284453"/>
    <w:rsid w:val="008160E0"/>
    <w:rsid w:val="00C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453"/>
    <w:rPr>
      <w:b/>
      <w:bCs/>
    </w:rPr>
  </w:style>
  <w:style w:type="character" w:styleId="a5">
    <w:name w:val="Hyperlink"/>
    <w:basedOn w:val="a0"/>
    <w:uiPriority w:val="99"/>
    <w:semiHidden/>
    <w:unhideWhenUsed/>
    <w:rsid w:val="00284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32-2020-%D0%BF" TargetMode="External"/><Relationship Id="rId13" Type="http://schemas.openxmlformats.org/officeDocument/2006/relationships/hyperlink" Target="https://zakon.rada.gov.ua/rada/show/v0527729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630-2014-%D0%BF" TargetMode="External"/><Relationship Id="rId12" Type="http://schemas.openxmlformats.org/officeDocument/2006/relationships/hyperlink" Target="https://zakon.rada.gov.ua/rada/show/286/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630-2014-%D0%BF" TargetMode="External"/><Relationship Id="rId11" Type="http://schemas.openxmlformats.org/officeDocument/2006/relationships/hyperlink" Target="https://zakon.rada.gov.ua/rada/show/254%D0%BA/96-%D0%B2%D1%80" TargetMode="External"/><Relationship Id="rId5" Type="http://schemas.openxmlformats.org/officeDocument/2006/relationships/hyperlink" Target="https://zakon.rada.gov.ua/rada/show/v0586729-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v0641729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0527729-22" TargetMode="External"/><Relationship Id="rId14" Type="http://schemas.openxmlformats.org/officeDocument/2006/relationships/hyperlink" Target="https://zakon.rada.gov.ua/rada/show/286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4321</Words>
  <Characters>24632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2023-05-23T06:44:00Z</dcterms:created>
  <dcterms:modified xsi:type="dcterms:W3CDTF">2023-05-23T06:45:00Z</dcterms:modified>
</cp:coreProperties>
</file>